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彩虹小标宋" w:hAnsi="彩虹小标宋" w:eastAsia="彩虹小标宋" w:cs="彩虹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彩虹小标宋" w:hAnsi="彩虹小标宋" w:eastAsia="彩虹小标宋" w:cs="彩虹小标宋"/>
          <w:b w:val="0"/>
          <w:bCs w:val="0"/>
          <w:color w:val="auto"/>
          <w:sz w:val="44"/>
          <w:szCs w:val="44"/>
          <w:lang w:val="en-US" w:eastAsia="zh-CN"/>
        </w:rPr>
        <w:t>建信长租产品体系发布会策划活动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彩虹小标宋" w:hAnsi="彩虹小标宋" w:eastAsia="彩虹小标宋" w:cs="彩虹小标宋"/>
          <w:b w:val="0"/>
          <w:bCs w:val="0"/>
          <w:sz w:val="44"/>
          <w:szCs w:val="44"/>
        </w:rPr>
      </w:pPr>
      <w:r>
        <w:rPr>
          <w:rFonts w:hint="eastAsia" w:ascii="彩虹小标宋" w:hAnsi="彩虹小标宋" w:eastAsia="彩虹小标宋" w:cs="彩虹小标宋"/>
          <w:b w:val="0"/>
          <w:bCs w:val="0"/>
          <w:color w:val="auto"/>
          <w:sz w:val="44"/>
          <w:szCs w:val="44"/>
          <w:lang w:val="en-US" w:eastAsia="zh-CN"/>
        </w:rPr>
        <w:t>咨询服务</w:t>
      </w:r>
      <w:r>
        <w:rPr>
          <w:rFonts w:hint="eastAsia" w:ascii="彩虹小标宋" w:hAnsi="彩虹小标宋" w:eastAsia="彩虹小标宋" w:cs="彩虹小标宋"/>
          <w:b w:val="0"/>
          <w:bCs w:val="0"/>
          <w:sz w:val="44"/>
          <w:szCs w:val="44"/>
        </w:rPr>
        <w:t>采购需求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服务供应商要求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具有营业执照的文化传播、广告策划、影视或同类型公司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，要求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近三年承接的活动策划案例、市场营销案例以及200人以上规模活动发布会策划案例各不少于3个，地产类发布会案例优先提供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活动策划和执行、发布会内容策划和执行经验丰富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，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具备执行落地配合经验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具有独立法人资格并依法取得有效营业执照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具有履行合同所必需的相关经验、政府单位沟通能力、专业人员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、专业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设备和专业技术能力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有依法缴纳税收和社会保障资金的良好记录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最近三年内没有骗取中标、严重违约及重大服务质量问题，经营活动中没有重大违法记录。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firstLine="640" w:firstLineChars="200"/>
        <w:rPr>
          <w:rFonts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财务状况、经营状况良好，未被“信用中国”网站列入税收违法黑名单；未被“中国执行信息公开网”列入失信被执行人名单；未被“中国政府采购网”列入政府采购严重违法失信行为记录名单；未被“国家企业信用信息公示系统”网站列入严重违法失信名单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策划组织服务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服务内容和交付成果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本次拟</w:t>
      </w:r>
      <w:r>
        <w:rPr>
          <w:rFonts w:hint="eastAsia" w:ascii="彩虹粗仿宋" w:hAnsi="彩虹粗仿宋" w:eastAsia="彩虹粗仿宋" w:cs="彩虹粗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采购策划活动咨询服务工作内容如下（包括但不限于）：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1、品牌策划：针对“好公寓”标准体系进行总体品牌包装创意，含内外部调研分析、品牌体系梳理、理念定位、口号创意等。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2、产品策划：针对具体产品体系内容及特色进行阐释包装创意，含内外部调研分析、行业案例研究、产品特色包装创意等。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3、宣发策划：策划本次标准体系的总体宣发方案，含方案规划、时间节点排布、宣传物料概念创意、发布会议程及内容策划等。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4、文案类宣传物料：撰写品牌与产品包装的深度宣传长文、产品体系发布主旨PPT讲演稿、自媒体宣传短文案等。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5、平面设计类宣传物料：设计排版品牌宣传主视觉、产品体系发布主旨PPT、宣传册/宣传单页、发布会电子邀请函及相关宣发海报等。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6、宣传图频制作：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lang w:val="en-US" w:eastAsia="zh-CN"/>
        </w:rPr>
        <w:t>制作产品体系宣传长视频及若干产品亮点/人物专访短视频（含脚本创意、文案配音、拍摄剪辑）；拍摄并精修公寓产品宣传实景照（含现场摄影、设备器材、选图、精修）。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7、会场物料设计制作：设计制作主视觉、邀请函、议程单、签到装置、场地氛围包装、上屏文件、</w:t>
      </w: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相关宣传展板、室内展示物料、伴手礼、其他必须物料</w:t>
      </w: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8、会场氛围搭建：场地踏勘、平面布局设计、舞台设计、观众席设计、场地氛围设计，以及舞美声光、启动装置、工艺样板间展陈等装置的制作与搭建。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9、现场会务执行：提供发布会执行导演组、流程调度、会务服务、主持礼仪、舞美控台、图频拍摄及直播等现场执行服务。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10、媒体投放：邀约权威媒体到场报道、投放媒体平台PR稿件等。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11、自媒体推广：合作如微博、小红书、抖音等平台相关垂类KOL/KOC博主进行内容推广，并在自媒体平台进行流量投放等。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彩虹粗仿宋" w:hAnsi="彩虹粗仿宋" w:eastAsia="彩虹粗仿宋" w:cs="彩虹粗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12、除上述工作外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highlight w:val="none"/>
        </w:rPr>
        <w:t>一切为完成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highlight w:val="none"/>
          <w:lang w:eastAsia="zh-CN"/>
        </w:rPr>
        <w:t>本次发布会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highlight w:val="none"/>
        </w:rPr>
        <w:t>所需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highlight w:val="none"/>
          <w:lang w:eastAsia="zh-CN"/>
        </w:rPr>
        <w:t>工作，供应商需结合过往案例经验充分考虑。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highlight w:val="none"/>
          <w:lang w:val="en-US" w:eastAsia="zh-CN"/>
        </w:rPr>
        <w:t>服务团队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供应商应根据发布会规模、策划内容、整体进度等要求配备服务团队成员。服务供应商需配置1名项目总负责人对接本次服务中所有事项，项目总负责人必须为承包人正式员工，且在承包人任职满1年（需提供社保记录），项目总负责人应具备6年及以上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活动策划、会务活动执行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从业经验，且以负责人身份完成的的相关业绩不少于3个；团队其他成员中，必须配置文案策划人员2名、设计人员1名、视频制作人员2名、发布会活动现场执行及服务人员至少3人，上述人员均应具备4年以上相关项目从业经验。服务团队需保持人员稳定，未经甲方许可不得随意更换团队成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服务质量要求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符合当地政府主管部门举办活动的相关要求，满足我司过程中提出的相关要求，符合我司相关管理要求，咨询成果应兼顾效果、成本及可实施性。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highlight w:val="none"/>
          <w:lang w:val="en-US" w:eastAsia="zh-CN"/>
        </w:rPr>
        <w:t>服务供应安排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时间要求：自合同生效起开始提供设计服务至整体策划活动咨询服务完成。</w:t>
      </w:r>
    </w:p>
    <w:sdt>
      <w:sdtPr>
        <w:rPr>
          <w:rFonts w:hint="eastAsia" w:ascii="彩虹粗仿宋" w:hAnsi="彩虹粗仿宋" w:eastAsia="彩虹粗仿宋" w:cs="彩虹粗仿宋"/>
          <w:b/>
          <w:bCs/>
          <w:kern w:val="0"/>
          <w:szCs w:val="21"/>
        </w:rPr>
        <w:id w:val="2020574552"/>
        <w:placeholder>
          <w:docPart w:val="{0c30f469-b7bc-4a9f-85f3-287246477106}"/>
        </w:placeholder>
      </w:sdtPr>
      <w:sdtEndPr>
        <w:rPr>
          <w:rFonts w:hint="eastAsia" w:ascii="彩虹粗仿宋" w:hAnsi="彩虹粗仿宋" w:eastAsia="彩虹粗仿宋" w:cs="彩虹粗仿宋"/>
          <w:b/>
          <w:bCs/>
          <w:kern w:val="0"/>
          <w:szCs w:val="21"/>
        </w:rPr>
      </w:sdtEndPr>
      <w:sdtContent>
        <w:tbl>
          <w:tblPr>
            <w:tblStyle w:val="6"/>
            <w:tblW w:w="4368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580"/>
            <w:gridCol w:w="3127"/>
            <w:gridCol w:w="2738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31" w:hRule="atLeast"/>
              <w:jc w:val="center"/>
            </w:trPr>
            <w:tc>
              <w:tcPr>
                <w:tcW w:w="1061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  <w:t>阶段</w:t>
                </w:r>
              </w:p>
            </w:tc>
            <w:tc>
              <w:tcPr>
                <w:tcW w:w="209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  <w:t>工作内容</w:t>
                </w:r>
              </w:p>
            </w:tc>
            <w:tc>
              <w:tcPr>
                <w:tcW w:w="1838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  <w:lang w:eastAsia="zh-CN"/>
                  </w:rPr>
                  <w:t>最少汇报</w:t>
                </w:r>
                <w:r>
                  <w:rPr>
                    <w:rFonts w:hint="eastAsia" w:ascii="彩虹粗仿宋" w:hAnsi="彩虹粗仿宋" w:eastAsia="彩虹粗仿宋" w:cs="彩虹粗仿宋"/>
                    <w:b/>
                    <w:bCs/>
                    <w:kern w:val="0"/>
                    <w:szCs w:val="21"/>
                  </w:rPr>
                  <w:t>会议次数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  <w:jc w:val="center"/>
            </w:trPr>
            <w:tc>
              <w:tcPr>
                <w:tcW w:w="1061" w:type="pct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第一阶段</w:t>
                </w:r>
              </w:p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（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8月29号前完成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）</w:t>
                </w: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项目启动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1次会议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  <w:jc w:val="center"/>
            </w:trPr>
            <w:tc>
              <w:tcPr>
                <w:tcW w:w="1061" w:type="pct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品牌包装策划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4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73" w:hRule="atLeast"/>
              <w:jc w:val="center"/>
            </w:trPr>
            <w:tc>
              <w:tcPr>
                <w:tcW w:w="1061" w:type="pct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宣发策划及主视觉设计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3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00" w:hRule="atLeast"/>
              <w:jc w:val="center"/>
            </w:trPr>
            <w:tc>
              <w:tcPr>
                <w:tcW w:w="1061" w:type="pct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宣传片策划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3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  <w:jc w:val="center"/>
            </w:trPr>
            <w:tc>
              <w:tcPr>
                <w:tcW w:w="1061" w:type="pct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第二阶段</w:t>
                </w:r>
              </w:p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（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9月18号前完成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）</w:t>
                </w: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宣传片后期制作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2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  <w:jc w:val="center"/>
            </w:trPr>
            <w:tc>
              <w:tcPr>
                <w:tcW w:w="1061" w:type="pct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/>
                  </w:rPr>
                  <w:t>文案撰写及平面设计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2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  <w:jc w:val="center"/>
            </w:trPr>
            <w:tc>
              <w:tcPr>
                <w:tcW w:w="1061" w:type="pct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</w:p>
            </w:tc>
            <w:tc>
              <w:tcPr>
                <w:tcW w:w="2099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 w:bidi="ar-SA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发布会现场方案策划（含设计）</w:t>
                </w:r>
              </w:p>
            </w:tc>
            <w:tc>
              <w:tcPr>
                <w:tcW w:w="1838" w:type="pct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 w:bidi="ar-SA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3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893" w:hRule="atLeast"/>
              <w:jc w:val="center"/>
            </w:trPr>
            <w:tc>
              <w:tcPr>
                <w:tcW w:w="1061" w:type="pct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第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三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阶段</w:t>
                </w:r>
              </w:p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（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9月26号完成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eastAsia="zh-CN"/>
                  </w:rPr>
                  <w:t>）</w:t>
                </w: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 w:bidi="ar-SA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执行推进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 w:bidi="ar-SA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2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9" w:hRule="atLeast"/>
              <w:jc w:val="center"/>
            </w:trPr>
            <w:tc>
              <w:tcPr>
                <w:tcW w:w="1061" w:type="pct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</w:pPr>
              </w:p>
            </w:tc>
            <w:tc>
              <w:tcPr>
                <w:tcW w:w="2099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 w:bidi="ar-SA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进场执行</w:t>
                </w:r>
              </w:p>
            </w:tc>
            <w:tc>
              <w:tcPr>
                <w:tcW w:w="1838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adjustRightInd w:val="0"/>
                  <w:snapToGrid w:val="0"/>
                  <w:spacing w:line="560" w:lineRule="exact"/>
                  <w:jc w:val="center"/>
                  <w:rPr>
                    <w:rFonts w:hint="eastAsia" w:ascii="彩虹粗仿宋" w:hAnsi="彩虹粗仿宋" w:eastAsia="彩虹粗仿宋" w:cs="彩虹粗仿宋"/>
                    <w:kern w:val="0"/>
                    <w:sz w:val="21"/>
                    <w:szCs w:val="21"/>
                    <w:highlight w:val="none"/>
                    <w:lang w:val="en-US" w:eastAsia="zh-CN" w:bidi="ar-SA"/>
                  </w:rPr>
                </w:pP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  <w:lang w:val="en-US" w:eastAsia="zh-CN"/>
                  </w:rPr>
                  <w:t>1</w:t>
                </w:r>
                <w:r>
                  <w:rPr>
                    <w:rFonts w:hint="eastAsia" w:ascii="彩虹粗仿宋" w:hAnsi="彩虹粗仿宋" w:eastAsia="彩虹粗仿宋" w:cs="彩虹粗仿宋"/>
                    <w:kern w:val="0"/>
                    <w:szCs w:val="21"/>
                    <w:highlight w:val="none"/>
                  </w:rPr>
                  <w:t>次会议</w:t>
                </w:r>
              </w:p>
            </w:tc>
          </w:tr>
        </w:tbl>
      </w:sdtContent>
    </w:sdt>
    <w:p>
      <w:pPr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服务地点和次数：线下汇报地点为北京市。线下汇报会议需满足我司要求，线上汇报沟通会议不限次数。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highlight w:val="none"/>
          <w:lang w:val="en-US" w:eastAsia="zh-CN"/>
        </w:rPr>
        <w:t>款项支付要求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上述工作分阶段开展，按照先付款后服务的原则，未发生的服务在结算时扣除相应费用，具体如下：</w:t>
      </w:r>
    </w:p>
    <w:tbl>
      <w:tblPr>
        <w:tblStyle w:val="6"/>
        <w:tblW w:w="4088" w:type="pct"/>
        <w:tblInd w:w="4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808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支付节点</w:t>
            </w:r>
          </w:p>
        </w:tc>
        <w:tc>
          <w:tcPr>
            <w:tcW w:w="10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合同签订后10个工作日内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完成进场执行前所有设计、文案撰写、策划方案工作。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项目结束并验收完成后10个工作日内支付尾款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100%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每次付款前，供应商向我司开具与付款金额等额且合法有效的增值税专用发票。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报价要求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供应商根据提供的报价清单进行报价，报价中包含提供完整策划活动咨询服务所需的一切费用，无其余敞口事项，我司不再支付报价单以外任何费用。</w:t>
      </w:r>
    </w:p>
    <w:p>
      <w:pPr>
        <w:adjustRightInd w:val="0"/>
        <w:snapToGrid w:val="0"/>
        <w:spacing w:line="560" w:lineRule="exact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彩虹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BC95D"/>
    <w:multiLevelType w:val="singleLevel"/>
    <w:tmpl w:val="B59BC95D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abstractNum w:abstractNumId="1">
    <w:nsid w:val="D79248BE"/>
    <w:multiLevelType w:val="singleLevel"/>
    <w:tmpl w:val="D79248BE"/>
    <w:lvl w:ilvl="0" w:tentative="0">
      <w:start w:val="1"/>
      <w:numFmt w:val="chineseCounting"/>
      <w:suff w:val="nothing"/>
      <w:lvlText w:val="%1、"/>
      <w:lvlJc w:val="left"/>
      <w:rPr>
        <w:rFonts w:hint="eastAsia" w:ascii="彩虹粗仿宋" w:hAnsi="彩虹粗仿宋" w:eastAsia="彩虹粗仿宋" w:cs="彩虹粗仿宋"/>
        <w:sz w:val="32"/>
        <w:szCs w:val="32"/>
      </w:rPr>
    </w:lvl>
  </w:abstractNum>
  <w:abstractNum w:abstractNumId="2">
    <w:nsid w:val="16DB282E"/>
    <w:multiLevelType w:val="singleLevel"/>
    <w:tmpl w:val="16DB282E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119C"/>
    <w:rsid w:val="00CB77BE"/>
    <w:rsid w:val="00E16FE2"/>
    <w:rsid w:val="010B2198"/>
    <w:rsid w:val="020C008E"/>
    <w:rsid w:val="04CE1F73"/>
    <w:rsid w:val="051E0804"/>
    <w:rsid w:val="054F0A8E"/>
    <w:rsid w:val="06527A7A"/>
    <w:rsid w:val="077F7AF2"/>
    <w:rsid w:val="0AD406C7"/>
    <w:rsid w:val="0BA457DB"/>
    <w:rsid w:val="0CE7033B"/>
    <w:rsid w:val="0DCF2B34"/>
    <w:rsid w:val="0F3155D8"/>
    <w:rsid w:val="14B256C6"/>
    <w:rsid w:val="16CB7D8C"/>
    <w:rsid w:val="1983702B"/>
    <w:rsid w:val="1A6F1FEC"/>
    <w:rsid w:val="1E7159F1"/>
    <w:rsid w:val="24E011DB"/>
    <w:rsid w:val="26C8461C"/>
    <w:rsid w:val="26FB22FC"/>
    <w:rsid w:val="29822F6F"/>
    <w:rsid w:val="2B1B0920"/>
    <w:rsid w:val="2B824D9A"/>
    <w:rsid w:val="2DE64CDC"/>
    <w:rsid w:val="2FDF24F5"/>
    <w:rsid w:val="30466CDD"/>
    <w:rsid w:val="31FD1A14"/>
    <w:rsid w:val="33727DEA"/>
    <w:rsid w:val="348800C5"/>
    <w:rsid w:val="36967428"/>
    <w:rsid w:val="37784591"/>
    <w:rsid w:val="384B29B7"/>
    <w:rsid w:val="384E119C"/>
    <w:rsid w:val="3BFC5EF5"/>
    <w:rsid w:val="3E556FE8"/>
    <w:rsid w:val="3E5C76CC"/>
    <w:rsid w:val="3F3441A5"/>
    <w:rsid w:val="3F9133A5"/>
    <w:rsid w:val="4138778D"/>
    <w:rsid w:val="44557097"/>
    <w:rsid w:val="4653292B"/>
    <w:rsid w:val="47877375"/>
    <w:rsid w:val="495C59A5"/>
    <w:rsid w:val="4B895446"/>
    <w:rsid w:val="4BF947AC"/>
    <w:rsid w:val="4D7A36CB"/>
    <w:rsid w:val="4EF15C0F"/>
    <w:rsid w:val="5288023D"/>
    <w:rsid w:val="55216B22"/>
    <w:rsid w:val="564C7BCE"/>
    <w:rsid w:val="571F9FA0"/>
    <w:rsid w:val="58127913"/>
    <w:rsid w:val="5893250D"/>
    <w:rsid w:val="595474C6"/>
    <w:rsid w:val="5E2002BE"/>
    <w:rsid w:val="5E266AA1"/>
    <w:rsid w:val="5ECA3D86"/>
    <w:rsid w:val="5ED05841"/>
    <w:rsid w:val="5F3A53B0"/>
    <w:rsid w:val="605C4EB2"/>
    <w:rsid w:val="63DA0F0F"/>
    <w:rsid w:val="66A9BC5A"/>
    <w:rsid w:val="68815DFE"/>
    <w:rsid w:val="69B82004"/>
    <w:rsid w:val="6C5D1BA3"/>
    <w:rsid w:val="6D9E6B0A"/>
    <w:rsid w:val="721F290F"/>
    <w:rsid w:val="7420471D"/>
    <w:rsid w:val="747454D2"/>
    <w:rsid w:val="77F87C33"/>
    <w:rsid w:val="794C4C1C"/>
    <w:rsid w:val="79A656C4"/>
    <w:rsid w:val="7AF83CFD"/>
    <w:rsid w:val="7BFA191B"/>
    <w:rsid w:val="7C63164A"/>
    <w:rsid w:val="7CCB6E00"/>
    <w:rsid w:val="7D7AA63C"/>
    <w:rsid w:val="7E7C2E97"/>
    <w:rsid w:val="B3AFB0A1"/>
    <w:rsid w:val="B87BAAA2"/>
    <w:rsid w:val="FB5626FB"/>
    <w:rsid w:val="FDDD974A"/>
    <w:rsid w:val="FF2F8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"/>
    <w:basedOn w:val="1"/>
    <w:qFormat/>
    <w:uiPriority w:val="0"/>
    <w:pPr>
      <w:widowControl/>
      <w:jc w:val="center"/>
    </w:pPr>
    <w:rPr>
      <w:rFonts w:ascii="宋体" w:hAnsi="宋体"/>
      <w:kern w:val="0"/>
      <w:szCs w:val="21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c30f469-b7bc-4a9f-85f3-2872464771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30f469-b7bc-4a9f-85f3-287246477106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semiHidden="0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4CE2AFCD66794045B0B741BCA1ED1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1502</Words>
  <Characters>1518</Characters>
  <Lines>0</Lines>
  <Paragraphs>0</Paragraphs>
  <TotalTime>29</TotalTime>
  <ScaleCrop>false</ScaleCrop>
  <LinksUpToDate>false</LinksUpToDate>
  <CharactersWithSpaces>1518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2025-05-22T23:37:00Z</dcterms:created>
  <dc:creator>caroline</dc:creator>
  <cp:lastModifiedBy>张泽宇</cp:lastModifiedBy>
  <dcterms:modified xsi:type="dcterms:W3CDTF">2025-08-07T16:33:15Z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684DE33B06A644C59A9D86FDFEFF8763</vt:lpwstr>
  </property>
  <property fmtid="{D5CDD505-2E9C-101B-9397-08002B2CF9AE}" pid="4" name="KSOTemplateDocerSaveRecord">
    <vt:lpwstr>eyJoZGlkIjoiYjU4YjVhMmIzZjRmOTMxMTNjNzhjOTQzMDY4OGY5NjIiLCJ1c2VySWQiOiI0MzI3NjU2MDAifQ==</vt:lpwstr>
  </property>
</Properties>
</file>